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Liberal Learning Task Force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for Wednesday, February 27, 2019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Education 205 (1:30-2:50pm)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attendance:  Jonathan Davis, Christopher Murphy, Cynthia Curtis, Dolores Dzubaty, Joshua Fishburn, Tanner Huffman, Harriet Hustis, Rita King, Annie Nicolosi, Nina Ringer, Glenn Steinberg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Foster addressed the taskforce.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she has heard since being at TCNJ: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for more robust, extended integration into the TCNJ community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High-order competencies (e.g., crosscultural sensitivities, writing, etc.)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Liberal Learning within the major (Race &amp; Ethnicity in major field, not isolated)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the fourth hour (like oral proficiency conversational hours)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Unevenness and variability in FSP experience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year experience is an exemplar (should be). She likes core curriculum. Citizenship education (inclusionary way).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Components of a first year programs: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Knowledge, Skills, experiences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Sustained and engaged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Experiences should show willingness to fail and celebration in failure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Conversation and experiences across divides (religious, political, economic, cultural).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 of something bigger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Content level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Read, writing, and thinking carefully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Creative expression – making and/or appreciating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and quantitative awareness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Ethical judgment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Collaborative and interdisciplinary (problem-based)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major tracks be doable in 3 years?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Certificate (3 courses) for beyond the first year?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semester or first year – Pass/Fail; for mental health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Something compelling will demand resources.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Take away – support of bold ideas.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task force discussed the nature of the models that we are creating for campus discussion (format, how many, level of detail, etc.).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subcommittees (on the different models) were charged with meeting and beginning their work before our next task force meeting (March 27).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