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Liberal Learning Task Force</w:t>
      </w:r>
    </w:p>
    <w:p w:rsidR="00000000" w:rsidDel="00000000" w:rsidP="00000000" w:rsidRDefault="00000000" w:rsidRPr="00000000" w14:paraId="00000002">
      <w:pPr>
        <w:jc w:val="center"/>
        <w:rPr>
          <w:b w:val="1"/>
        </w:rPr>
      </w:pPr>
      <w:r w:rsidDel="00000000" w:rsidR="00000000" w:rsidRPr="00000000">
        <w:rPr>
          <w:b w:val="1"/>
          <w:rtl w:val="0"/>
        </w:rPr>
        <w:t xml:space="preserve">Minutes for Wednesday, November 28, 2018</w:t>
      </w:r>
    </w:p>
    <w:p w:rsidR="00000000" w:rsidDel="00000000" w:rsidP="00000000" w:rsidRDefault="00000000" w:rsidRPr="00000000" w14:paraId="00000003">
      <w:pPr>
        <w:jc w:val="center"/>
        <w:rPr>
          <w:b w:val="1"/>
        </w:rPr>
      </w:pPr>
      <w:r w:rsidDel="00000000" w:rsidR="00000000" w:rsidRPr="00000000">
        <w:rPr>
          <w:b w:val="1"/>
          <w:rtl w:val="0"/>
        </w:rPr>
        <w:t xml:space="preserve"> Business 206 (1:30-2:50 PM)</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Cynthia Curtis, Jonathan Davis, Joshua Fishburn, Harriet Hustis, Rita King, Christopher Murphy, Nina Ringer, Glenn Steinberg, and Olivia White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Members of the task force discussed who would attend the remaining forums (next Thursday’s open forum and Wednesday’s School of Education meeting).</w:t>
        <w:br w:type="textWrapping"/>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The task force discussed the forum and the comments about Liberal Learning that came up at the racial bias forum.  The forum seemed to indicate that there’s desire on students’ part to have Civic Responsibilities required earlier.  Maybe we need more focus on the transition from high school to TCNJ and our culture.</w:t>
        <w:br w:type="textWrapping"/>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The task force discussed the results of the survey and forums, as well as our recommendation to Steering.  Our memo to Steering should</w:t>
        <w:br w:type="textWrapping"/>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Recommend that we continue our work, noting that there may be reasons to postpone action on Liberal Learning – e.g., because of current discussions about the Signature Experiences and about the possibility of changing our admissions process not to include the declaration of a major.  Decisions on the latter matters might impact the future route for Liberal Learning, potentially making further discussion of Liberal Learning right now premature.</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Note that there appears (from the survey and forums) to be interest in having further discussions about Liberal Learning.  While 59% of survey respondents agreed or strongly agreed that the current undergraduate curriculum adequately prepares our students, only 5% of respondents felt that the only change to the Liberal Learning Program should be revision of its outcomes.</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Recommend that we create a range of models of potential revisions to Liberal Learning for discussion.  These models should reflect both different structures and different learning outcomes/goals.</w:t>
      </w:r>
    </w:p>
    <w:p w:rsidR="00000000" w:rsidDel="00000000" w:rsidP="00000000" w:rsidRDefault="00000000" w:rsidRPr="00000000" w14:paraId="0000000D">
      <w:pPr>
        <w:numPr>
          <w:ilvl w:val="1"/>
          <w:numId w:val="1"/>
        </w:numPr>
        <w:ind w:left="1440" w:hanging="360"/>
      </w:pPr>
      <w:r w:rsidDel="00000000" w:rsidR="00000000" w:rsidRPr="00000000">
        <w:rPr>
          <w:rtl w:val="0"/>
        </w:rPr>
        <w:t xml:space="preserve">Recommend that we gather input from students.</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Note that resources are an issue.  Any revisions that we make to Liberal Learning must be resource-neutral, or we must find new sources of funding.</w:t>
        <w:br w:type="textWrapping"/>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The task force discussed how to proceed in analyzing the qualitative data from the survey and will take up the matter at our next meeting.</w:t>
        <w:br w:type="textWrapping"/>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The task force approved the meeting minutes from October 24, 2018.</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